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748B" w:rsidRPr="00171DD9" w:rsidRDefault="00EC4ED8" w:rsidP="00171DD9">
      <w:pPr>
        <w:jc w:val="center"/>
        <w:rPr>
          <w:color w:val="595959" w:themeColor="text1" w:themeTint="A6"/>
        </w:rPr>
      </w:pPr>
      <w:bookmarkStart w:id="0" w:name="_GoBack"/>
      <w:bookmarkEnd w:id="0"/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szkolenia*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03538E">
              <w:rPr>
                <w:rFonts w:ascii="Arial" w:hAnsi="Arial" w:cs="Arial"/>
                <w:b/>
                <w:sz w:val="20"/>
                <w:szCs w:val="20"/>
              </w:rPr>
              <w:t>Czas pracy w podmiotach leczniczych</w:t>
            </w: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Miejsce i termin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24 maja 2019r. Poznań, ul. Przemysłowa 34 A  Hotel TOPAZ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Uwagi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Czas trwania szkolenia: 9:00 – 14:00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Autorskie materiały szkoleniowe, materiały piśmienne, certyfikat potwierdzający udział w szkoleniu, </w:t>
            </w:r>
            <w:r>
              <w:rPr>
                <w:rFonts w:ascii="Arial" w:hAnsi="Arial" w:cs="Arial"/>
                <w:sz w:val="18"/>
                <w:szCs w:val="18"/>
              </w:rPr>
              <w:br/>
              <w:t>serwis kawowy oraz lunch</w:t>
            </w:r>
          </w:p>
        </w:tc>
      </w:tr>
    </w:tbl>
    <w:p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1" w:name="_Hlk536560581"/>
            <w:bookmarkStart w:id="2" w:name="_Hlk536560730"/>
            <w:bookmarkStart w:id="3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Pr="00C50E39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4" w:name="_Hlk536560224"/>
            <w:bookmarkEnd w:id="2"/>
          </w:p>
          <w:p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="00F01013" w:rsidRPr="00F01013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</w:pPr>
          </w:p>
        </w:tc>
      </w:tr>
      <w:tr w:rsidR="00FB748B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bookmarkEnd w:id="4"/>
      <w:tr w:rsidR="00351ACB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351ACB" w:rsidRDefault="00351ACB" w:rsidP="00C60790">
            <w:pPr>
              <w:pStyle w:val="Zawartotabeli"/>
            </w:pPr>
          </w:p>
        </w:tc>
      </w:tr>
    </w:tbl>
    <w:p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590,40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480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(42 6170079).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13" w:rsidRDefault="00544C13">
      <w:r>
        <w:separator/>
      </w:r>
    </w:p>
  </w:endnote>
  <w:endnote w:type="continuationSeparator" w:id="0">
    <w:p w:rsidR="00544C13" w:rsidRDefault="0054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13" w:rsidRDefault="00544C13">
      <w:r>
        <w:separator/>
      </w:r>
    </w:p>
  </w:footnote>
  <w:footnote w:type="continuationSeparator" w:id="0">
    <w:p w:rsidR="00544C13" w:rsidRDefault="0054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92B62"/>
    <w:rsid w:val="000D7A90"/>
    <w:rsid w:val="00171DD9"/>
    <w:rsid w:val="00172F5D"/>
    <w:rsid w:val="001C446A"/>
    <w:rsid w:val="002245DD"/>
    <w:rsid w:val="00351ACB"/>
    <w:rsid w:val="004B5AFE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9A4369"/>
    <w:rsid w:val="009E6CC4"/>
    <w:rsid w:val="00A272B5"/>
    <w:rsid w:val="00A47140"/>
    <w:rsid w:val="00AF757A"/>
    <w:rsid w:val="00B6727E"/>
    <w:rsid w:val="00BB02B4"/>
    <w:rsid w:val="00BC0C4A"/>
    <w:rsid w:val="00C50E39"/>
    <w:rsid w:val="00D53B18"/>
    <w:rsid w:val="00DB169C"/>
    <w:rsid w:val="00E03BC2"/>
    <w:rsid w:val="00E33C1F"/>
    <w:rsid w:val="00EC4ED8"/>
    <w:rsid w:val="00F0101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4295E6BB-2715-455B-9A9A-4FB2DDB6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2019-05-07T10:39:00Z</dcterms:created>
  <dcterms:modified xsi:type="dcterms:W3CDTF">2019-05-07T10:39:00Z</dcterms:modified>
</cp:coreProperties>
</file>